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53E925C"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F32071">
        <w:rPr>
          <w:bCs/>
          <w:noProof w:val="0"/>
          <w:sz w:val="24"/>
          <w:szCs w:val="24"/>
        </w:rPr>
        <w:t>09293</w:t>
      </w:r>
    </w:p>
    <w:p w14:paraId="11776FA6" w14:textId="7ECA3DA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w:t>
      </w:r>
      <w:r w:rsidR="00AD453E">
        <w:rPr>
          <w:rFonts w:eastAsia="SimSun"/>
          <w:bCs/>
          <w:sz w:val="24"/>
          <w:szCs w:val="24"/>
          <w:lang w:eastAsia="zh-CN"/>
        </w:rPr>
        <w:t>ia</w:t>
      </w:r>
      <w:r w:rsidRPr="00F036E9">
        <w:rPr>
          <w:rFonts w:eastAsia="SimSun"/>
          <w:bCs/>
          <w:sz w:val="24"/>
          <w:szCs w:val="24"/>
          <w:lang w:eastAsia="zh-CN"/>
        </w:rPr>
        <w:t>, 26</w:t>
      </w:r>
      <w:r w:rsidR="00AD453E">
        <w:rPr>
          <w:rFonts w:eastAsia="SimSun"/>
          <w:bCs/>
          <w:sz w:val="24"/>
          <w:szCs w:val="24"/>
          <w:lang w:eastAsia="zh-CN"/>
        </w:rPr>
        <w:t>th</w:t>
      </w:r>
      <w:r w:rsidRPr="00F036E9">
        <w:rPr>
          <w:rFonts w:eastAsia="SimSun"/>
          <w:bCs/>
          <w:sz w:val="24"/>
          <w:szCs w:val="24"/>
          <w:lang w:eastAsia="zh-CN"/>
        </w:rPr>
        <w:t xml:space="preserve"> – 30</w:t>
      </w:r>
      <w:r w:rsidR="00AD453E">
        <w:rPr>
          <w:rFonts w:eastAsia="SimSun"/>
          <w:bCs/>
          <w:sz w:val="24"/>
          <w:szCs w:val="24"/>
          <w:lang w:eastAsia="zh-CN"/>
        </w:rPr>
        <w:t>th</w:t>
      </w:r>
      <w:r w:rsidRPr="00F036E9">
        <w:rPr>
          <w:rFonts w:eastAsia="SimSun"/>
          <w:bCs/>
          <w:sz w:val="24"/>
          <w:szCs w:val="24"/>
          <w:lang w:eastAsia="zh-CN"/>
        </w:rPr>
        <w:t xml:space="preserve"> </w:t>
      </w:r>
      <w:r w:rsidR="00AD453E">
        <w:rPr>
          <w:rFonts w:eastAsia="SimSun"/>
          <w:bCs/>
          <w:sz w:val="24"/>
          <w:szCs w:val="24"/>
          <w:lang w:eastAsia="zh-CN"/>
        </w:rPr>
        <w:t xml:space="preserve">of </w:t>
      </w:r>
      <w:r w:rsidRPr="00F036E9">
        <w:rPr>
          <w:rFonts w:eastAsia="SimSun"/>
          <w:bCs/>
          <w:sz w:val="24"/>
          <w:szCs w:val="24"/>
          <w:lang w:eastAsia="zh-CN"/>
        </w:rPr>
        <w:t>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C81AAA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475B">
        <w:rPr>
          <w:rFonts w:cs="Arial"/>
          <w:b/>
          <w:bCs/>
          <w:sz w:val="24"/>
          <w:lang w:eastAsia="ja-JP"/>
        </w:rPr>
        <w:t>11.9.</w:t>
      </w:r>
      <w:r w:rsidR="004E21E3">
        <w:rPr>
          <w:rFonts w:cs="Arial"/>
          <w:b/>
          <w:bCs/>
          <w:sz w:val="24"/>
          <w:lang w:eastAsia="ja-JP"/>
        </w:rPr>
        <w:t>3.</w:t>
      </w:r>
      <w:r w:rsidR="00F32071">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57C1989" w:rsidR="00A209D6" w:rsidRDefault="00A209D6" w:rsidP="0098356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2071" w:rsidRPr="00F32071">
        <w:rPr>
          <w:rFonts w:ascii="Arial" w:hAnsi="Arial" w:cs="Arial"/>
          <w:b/>
          <w:bCs/>
          <w:sz w:val="24"/>
        </w:rPr>
        <w:t>On CHO configuration consistency and validity</w:t>
      </w:r>
    </w:p>
    <w:p w14:paraId="1F147C23" w14:textId="3A93C62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1475B" w:rsidRPr="00F1475B">
        <w:rPr>
          <w:rFonts w:ascii="Arial" w:hAnsi="Arial" w:cs="Arial"/>
          <w:b/>
          <w:bCs/>
          <w:sz w:val="24"/>
        </w:rPr>
        <w:t>NR_Mob_enh</w:t>
      </w:r>
      <w:proofErr w:type="spellEnd"/>
      <w:r w:rsidR="00F1475B" w:rsidRPr="00F1475B">
        <w:rPr>
          <w:rFonts w:ascii="Arial" w:hAnsi="Arial" w:cs="Arial"/>
          <w:b/>
          <w:bCs/>
          <w:sz w:val="24"/>
        </w:rPr>
        <w:t xml:space="preserve">-Core </w:t>
      </w:r>
      <w:r>
        <w:rPr>
          <w:rFonts w:ascii="Arial" w:hAnsi="Arial" w:cs="Arial"/>
          <w:b/>
          <w:bCs/>
          <w:sz w:val="24"/>
        </w:rPr>
        <w:t xml:space="preserve">- Release </w:t>
      </w:r>
      <w:r w:rsidR="00F1475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680839" w14:textId="5D3D0B6C" w:rsidR="0030367A" w:rsidRPr="008A1C37" w:rsidRDefault="00CD3C34" w:rsidP="00976731">
      <w:pPr>
        <w:rPr>
          <w:lang w:val="en-US"/>
        </w:rPr>
      </w:pPr>
      <w:r>
        <w:t>An open question for conditional handover is still, how the source cell can reconfigure the UE after one or multiple CHO target candidates have been prepared.</w:t>
      </w:r>
      <w:r w:rsidR="003657E7">
        <w:t xml:space="preserve"> This has been also partially discussed in </w:t>
      </w:r>
      <w:r w:rsidR="003657E7" w:rsidRPr="00B54232">
        <w:t>[106#</w:t>
      </w:r>
      <w:proofErr w:type="gramStart"/>
      <w:r w:rsidR="003657E7" w:rsidRPr="00B54232">
        <w:t>42][</w:t>
      </w:r>
      <w:proofErr w:type="gramEnd"/>
      <w:r w:rsidR="003657E7" w:rsidRPr="00B54232">
        <w:t xml:space="preserve">NR/LTE/mob </w:t>
      </w:r>
      <w:proofErr w:type="spellStart"/>
      <w:r w:rsidR="003657E7" w:rsidRPr="00B54232">
        <w:t>enh</w:t>
      </w:r>
      <w:proofErr w:type="spellEnd"/>
      <w:r w:rsidR="003657E7" w:rsidRPr="00B54232">
        <w:t>] CHO configuration</w:t>
      </w:r>
      <w:r w:rsidR="003657E7">
        <w:t xml:space="preserve"> e-mail discussion.</w:t>
      </w:r>
    </w:p>
    <w:p w14:paraId="2BBFF540" w14:textId="7642A51F" w:rsidR="00A209D6" w:rsidRPr="006E13D1" w:rsidRDefault="00A209D6" w:rsidP="00A209D6">
      <w:pPr>
        <w:pStyle w:val="Heading1"/>
      </w:pPr>
      <w:r w:rsidRPr="006E13D1">
        <w:t>2</w:t>
      </w:r>
      <w:r w:rsidRPr="006E13D1">
        <w:tab/>
      </w:r>
      <w:r w:rsidR="00F433CC">
        <w:t>Problem description</w:t>
      </w:r>
    </w:p>
    <w:p w14:paraId="417BD8D9" w14:textId="367FBF15" w:rsidR="008D363A" w:rsidRDefault="00CD3C34" w:rsidP="00A84277">
      <w:r>
        <w:t>Let us a assume that a source cell has prepared 2 different target candidates for CHO for the same UE, and has already reconfigured the UE (i.e. the UE has already received the HO Commands from both candidates). Typically, the HO Commands contain the delta configuration with respect to the RRC configuration</w:t>
      </w:r>
      <w:r w:rsidR="00F433CC">
        <w:t xml:space="preserve"> in the source cell when the HO REQ was sent. Full configuration may also be </w:t>
      </w:r>
      <w:r w:rsidR="006C13E4">
        <w:t>included;</w:t>
      </w:r>
      <w:r w:rsidR="00F433CC">
        <w:t xml:space="preserve"> </w:t>
      </w:r>
      <w:proofErr w:type="gramStart"/>
      <w:r w:rsidR="00F433CC">
        <w:t>however</w:t>
      </w:r>
      <w:proofErr w:type="gramEnd"/>
      <w:r w:rsidR="00F433CC">
        <w:t xml:space="preserve"> this is a costly option and thereby is typically not used.</w:t>
      </w:r>
      <w:r>
        <w:t xml:space="preserve"> </w:t>
      </w:r>
    </w:p>
    <w:p w14:paraId="78F06109" w14:textId="2038C54C" w:rsidR="004E24B4" w:rsidRDefault="004E24B4" w:rsidP="004E24B4">
      <w:pPr>
        <w:jc w:val="both"/>
        <w:rPr>
          <w:b/>
        </w:rPr>
      </w:pPr>
      <w:r>
        <w:rPr>
          <w:b/>
        </w:rPr>
        <w:t xml:space="preserve">Observation 1: </w:t>
      </w:r>
      <w:r w:rsidR="00F433CC">
        <w:rPr>
          <w:b/>
        </w:rPr>
        <w:t>Full configuration is an expensive option</w:t>
      </w:r>
      <w:r>
        <w:rPr>
          <w:b/>
        </w:rPr>
        <w:t>.</w:t>
      </w:r>
    </w:p>
    <w:p w14:paraId="65DC1400" w14:textId="354C7166" w:rsidR="00AE3854" w:rsidRDefault="00F433CC" w:rsidP="003D4B58">
      <w:pPr>
        <w:jc w:val="both"/>
      </w:pPr>
      <w:r>
        <w:t xml:space="preserve">Now let us assume that the source cell </w:t>
      </w:r>
      <w:proofErr w:type="gramStart"/>
      <w:r>
        <w:t>has to</w:t>
      </w:r>
      <w:proofErr w:type="gramEnd"/>
      <w:r>
        <w:t xml:space="preserve"> reconfigure the UE, i.e. it has to send an RRC reconfiguration. If delta configuration was used, this may change the reference of the delta configuration, and this can lead to major problems during random access.</w:t>
      </w:r>
    </w:p>
    <w:p w14:paraId="54A53A13" w14:textId="43B41F66" w:rsidR="00F433CC" w:rsidRDefault="00F433CC" w:rsidP="00F433CC">
      <w:pPr>
        <w:jc w:val="both"/>
        <w:rPr>
          <w:b/>
        </w:rPr>
      </w:pPr>
      <w:r>
        <w:rPr>
          <w:b/>
        </w:rPr>
        <w:t>Observation 2: RRC reconfiguration may change the reference of the delta configuration, and this can lead to major problems during random access.</w:t>
      </w:r>
    </w:p>
    <w:p w14:paraId="50A7380F" w14:textId="5DA32C9A" w:rsidR="00F433CC" w:rsidRDefault="00F433CC" w:rsidP="003D4B58">
      <w:pPr>
        <w:jc w:val="both"/>
      </w:pPr>
      <w:r>
        <w:t>Even when full configuration is used, there are RRC reconfiguration</w:t>
      </w:r>
      <w:r w:rsidR="00D42283">
        <w:t>s that</w:t>
      </w:r>
      <w:r>
        <w:t xml:space="preserve"> can lead to discontinuities, for instance if the changes made are </w:t>
      </w:r>
      <w:r w:rsidR="007F08B3">
        <w:t xml:space="preserve">either significant (e.g. bearer type) or even </w:t>
      </w:r>
      <w:r>
        <w:t>not supported by the target candidate.</w:t>
      </w:r>
    </w:p>
    <w:p w14:paraId="4CF41BC6" w14:textId="744D5457" w:rsidR="00520F4F" w:rsidRDefault="00520F4F" w:rsidP="003D4B58">
      <w:pPr>
        <w:jc w:val="both"/>
      </w:pPr>
      <w:r>
        <w:rPr>
          <w:b/>
        </w:rPr>
        <w:t>Observation 3: Even when using full configuration, RRC reconfigurations may lead to discontinuities after the handover</w:t>
      </w:r>
      <w:r w:rsidR="007F08B3">
        <w:rPr>
          <w:b/>
        </w:rPr>
        <w:t>.</w:t>
      </w:r>
    </w:p>
    <w:p w14:paraId="6A0FA9BF" w14:textId="55A984E4" w:rsidR="009D54D7" w:rsidRPr="006E13D1" w:rsidRDefault="00805C1F" w:rsidP="009D54D7">
      <w:pPr>
        <w:pStyle w:val="Heading1"/>
      </w:pPr>
      <w:r>
        <w:t>3</w:t>
      </w:r>
      <w:r w:rsidR="009D54D7" w:rsidRPr="006E13D1">
        <w:tab/>
      </w:r>
      <w:r w:rsidR="0075432F">
        <w:t>Solution</w:t>
      </w:r>
      <w:r w:rsidR="004F3D82">
        <w:t>s</w:t>
      </w:r>
    </w:p>
    <w:p w14:paraId="75F001BD" w14:textId="0C3F905D" w:rsidR="009D54D7" w:rsidRDefault="009D54D7" w:rsidP="009D54D7">
      <w:r>
        <w:t>In the following</w:t>
      </w:r>
      <w:r w:rsidR="00D42283">
        <w:t xml:space="preserve"> subparagraphs</w:t>
      </w:r>
      <w:r>
        <w:t xml:space="preserve"> we will list </w:t>
      </w:r>
      <w:proofErr w:type="gramStart"/>
      <w:r>
        <w:t>a number of</w:t>
      </w:r>
      <w:proofErr w:type="gramEnd"/>
      <w:r>
        <w:t xml:space="preserve"> possible solutions for different cases:</w:t>
      </w:r>
    </w:p>
    <w:p w14:paraId="08E62B26" w14:textId="1830BF75" w:rsidR="009D54D7" w:rsidRDefault="009D54D7" w:rsidP="00D910D0">
      <w:pPr>
        <w:pStyle w:val="ListParagraph"/>
        <w:numPr>
          <w:ilvl w:val="0"/>
          <w:numId w:val="17"/>
        </w:numPr>
      </w:pPr>
      <w:r>
        <w:t>As discussed above, using full configuration would solve some of the problems. However, we believe that this is not a viable option in general.</w:t>
      </w:r>
    </w:p>
    <w:p w14:paraId="212DA1AE" w14:textId="143B6F07" w:rsidR="004F3D82" w:rsidRDefault="004F3D82" w:rsidP="00D910D0">
      <w:pPr>
        <w:pStyle w:val="ListParagraph"/>
        <w:numPr>
          <w:ilvl w:val="0"/>
          <w:numId w:val="17"/>
        </w:numPr>
      </w:pPr>
      <w:r>
        <w:t xml:space="preserve">There have been proposals that the UE would be provided </w:t>
      </w:r>
      <w:r w:rsidR="00504CC6">
        <w:t xml:space="preserve">with </w:t>
      </w:r>
      <w:r>
        <w:t xml:space="preserve">delta configuration, but </w:t>
      </w:r>
      <w:r w:rsidR="00295726">
        <w:t xml:space="preserve">immediately </w:t>
      </w:r>
      <w:r>
        <w:t>compiles and stores full configuration.</w:t>
      </w:r>
      <w:r w:rsidR="006E4A34">
        <w:t xml:space="preserve"> This would a</w:t>
      </w:r>
      <w:r w:rsidR="00295726">
        <w:t>c</w:t>
      </w:r>
      <w:r w:rsidR="006E4A34">
        <w:t xml:space="preserve">hieve the same benefit as full configuration, </w:t>
      </w:r>
      <w:r w:rsidR="00295726">
        <w:t xml:space="preserve">but </w:t>
      </w:r>
      <w:r w:rsidR="006E4A34">
        <w:t>generates less signallin</w:t>
      </w:r>
      <w:r w:rsidR="00295726">
        <w:t>g. However, some additional effort on the UE side is induced.</w:t>
      </w:r>
    </w:p>
    <w:p w14:paraId="76680031" w14:textId="2D75C9A6" w:rsidR="00504CC6" w:rsidRDefault="00504CC6" w:rsidP="00D910D0">
      <w:pPr>
        <w:pStyle w:val="ListParagraph"/>
        <w:numPr>
          <w:ilvl w:val="0"/>
          <w:numId w:val="17"/>
        </w:numPr>
      </w:pPr>
      <w:r>
        <w:t>In order to allow the target to identify when the RRC configuration has changed,</w:t>
      </w:r>
    </w:p>
    <w:p w14:paraId="1AC5A047" w14:textId="11ECB871" w:rsidR="00504CC6" w:rsidRDefault="00504CC6" w:rsidP="00D910D0">
      <w:pPr>
        <w:pStyle w:val="ListParagraph"/>
        <w:numPr>
          <w:ilvl w:val="1"/>
          <w:numId w:val="17"/>
        </w:numPr>
      </w:pPr>
      <w:r>
        <w:t>Target may provide a t</w:t>
      </w:r>
      <w:r w:rsidR="000D162C">
        <w:t>ag</w:t>
      </w:r>
      <w:r>
        <w:t xml:space="preserve"> in the (C)HO Command</w:t>
      </w:r>
    </w:p>
    <w:p w14:paraId="28120BFB" w14:textId="75AFB1AE" w:rsidR="00504CC6" w:rsidRDefault="00504CC6" w:rsidP="00D910D0">
      <w:pPr>
        <w:pStyle w:val="ListParagraph"/>
        <w:numPr>
          <w:ilvl w:val="1"/>
          <w:numId w:val="17"/>
        </w:numPr>
      </w:pPr>
      <w:r>
        <w:t>The UE changes the t</w:t>
      </w:r>
      <w:r w:rsidR="000D162C">
        <w:t>ag</w:t>
      </w:r>
      <w:r>
        <w:t xml:space="preserve"> if it receives an RRC reconfiguration</w:t>
      </w:r>
    </w:p>
    <w:p w14:paraId="1519807A" w14:textId="3DCD0BF3" w:rsidR="00504CC6" w:rsidRDefault="00504CC6" w:rsidP="00D910D0">
      <w:pPr>
        <w:pStyle w:val="ListParagraph"/>
        <w:numPr>
          <w:ilvl w:val="1"/>
          <w:numId w:val="17"/>
        </w:numPr>
      </w:pPr>
      <w:r>
        <w:t>The UE provides the t</w:t>
      </w:r>
      <w:r w:rsidR="000D162C">
        <w:t>ag</w:t>
      </w:r>
      <w:r>
        <w:t xml:space="preserve"> during RACH</w:t>
      </w:r>
    </w:p>
    <w:p w14:paraId="708B9552" w14:textId="69A141F5" w:rsidR="009D54D7" w:rsidRDefault="009D54D7" w:rsidP="00D910D0">
      <w:pPr>
        <w:pStyle w:val="ListParagraph"/>
        <w:numPr>
          <w:ilvl w:val="0"/>
          <w:numId w:val="17"/>
        </w:numPr>
      </w:pPr>
      <w:r>
        <w:t>There might be RRC reconfigurations which are</w:t>
      </w:r>
      <w:r w:rsidR="00E7336A">
        <w:t xml:space="preserve"> </w:t>
      </w:r>
      <w:r w:rsidR="00994EDE">
        <w:t xml:space="preserve">not </w:t>
      </w:r>
      <w:r w:rsidR="006C13E4">
        <w:t>critical,</w:t>
      </w:r>
      <w:r w:rsidR="00994EDE">
        <w:t xml:space="preserve"> and which don’t create inconsistencies. These RRC reconfiguration</w:t>
      </w:r>
      <w:r w:rsidR="00D42283">
        <w:t>s</w:t>
      </w:r>
      <w:r w:rsidR="00994EDE">
        <w:t xml:space="preserve"> </w:t>
      </w:r>
      <w:r w:rsidR="00504CC6">
        <w:t>can</w:t>
      </w:r>
      <w:r w:rsidR="00994EDE">
        <w:t xml:space="preserve"> be performed by the source cell as usual</w:t>
      </w:r>
      <w:r w:rsidR="00D42283">
        <w:t xml:space="preserve"> (i.e. without notifying other network nodes)</w:t>
      </w:r>
      <w:r w:rsidR="00994EDE">
        <w:t>.</w:t>
      </w:r>
    </w:p>
    <w:p w14:paraId="03396DAD" w14:textId="1F18DAA8" w:rsidR="00504CC6" w:rsidRDefault="000D162C" w:rsidP="00D910D0">
      <w:pPr>
        <w:pStyle w:val="ListParagraph"/>
        <w:numPr>
          <w:ilvl w:val="0"/>
          <w:numId w:val="17"/>
        </w:numPr>
      </w:pPr>
      <w:r>
        <w:lastRenderedPageBreak/>
        <w:t xml:space="preserve">For other RRC reconfigurations, it might be necessary to inform that target cell about a change in the RRC reconfiguration (e.g. via Handover Request, before, after or in parallel to RRC </w:t>
      </w:r>
      <w:proofErr w:type="spellStart"/>
      <w:r>
        <w:t>reconfig</w:t>
      </w:r>
      <w:proofErr w:type="spellEnd"/>
      <w:r>
        <w:t>).</w:t>
      </w:r>
    </w:p>
    <w:p w14:paraId="2D697434" w14:textId="5963CBA4" w:rsidR="000D162C" w:rsidRDefault="000D162C" w:rsidP="00D910D0">
      <w:pPr>
        <w:pStyle w:val="ListParagraph"/>
        <w:numPr>
          <w:ilvl w:val="0"/>
          <w:numId w:val="17"/>
        </w:numPr>
      </w:pPr>
      <w:r>
        <w:t>In even more critical RRC reconfigurations, the source may need to agree a certain change in the configuration with the target (e.g. before RRC reconfiguration, the source sends Handover Request to target, and target acknowledges with Handover Request Acknowledgement)</w:t>
      </w:r>
    </w:p>
    <w:p w14:paraId="648837F4" w14:textId="3150CDC7" w:rsidR="000D162C" w:rsidRDefault="000D162C" w:rsidP="00D910D0">
      <w:pPr>
        <w:pStyle w:val="ListParagraph"/>
        <w:numPr>
          <w:ilvl w:val="0"/>
          <w:numId w:val="17"/>
        </w:numPr>
      </w:pPr>
      <w:r>
        <w:t xml:space="preserve">The safest method is that the source cell cancels all CHOs, performs the RRC reconfiguration, and then prepares the CHOs </w:t>
      </w:r>
      <w:r w:rsidR="00D714FF">
        <w:t xml:space="preserve">again. </w:t>
      </w:r>
      <w:r w:rsidR="001D758E">
        <w:t>However, we believe that this method is quite an overkill on one hand, and on the other hand this method can already be applied today without any further modification.</w:t>
      </w:r>
    </w:p>
    <w:p w14:paraId="03F32C2E" w14:textId="506DAADA" w:rsidR="00D910D0" w:rsidRDefault="00D910D0" w:rsidP="00D910D0">
      <w:r>
        <w:t xml:space="preserve">We believe that a solution to the problem should be a combination of the options </w:t>
      </w:r>
      <w:r w:rsidR="006E4A34">
        <w:t>2</w:t>
      </w:r>
      <w:r>
        <w:t>.</w:t>
      </w:r>
      <w:r w:rsidR="004B5AE5">
        <w:t>-6</w:t>
      </w:r>
      <w:r>
        <w:t xml:space="preserve">. above (solution 7 is already possible today). </w:t>
      </w:r>
      <w:proofErr w:type="gramStart"/>
      <w:r>
        <w:t>In particular, RAN2</w:t>
      </w:r>
      <w:proofErr w:type="gramEnd"/>
      <w:r>
        <w:t xml:space="preserve"> shall clarify which RRC reconfigu</w:t>
      </w:r>
      <w:r w:rsidR="00734E51">
        <w:t>r</w:t>
      </w:r>
      <w:r>
        <w:t>ations are uncritical</w:t>
      </w:r>
      <w:r w:rsidR="006E4A34">
        <w:t xml:space="preserve"> (4,)</w:t>
      </w:r>
      <w:r>
        <w:t>, which require</w:t>
      </w:r>
      <w:r w:rsidR="006E4A34">
        <w:t xml:space="preserve"> informing the target (5.) and which require previous agreement with the target (6.).</w:t>
      </w:r>
    </w:p>
    <w:p w14:paraId="4D950071" w14:textId="066A7085" w:rsidR="00AC205F" w:rsidRPr="00AE3854" w:rsidRDefault="006E4A34" w:rsidP="003D4B58">
      <w:pPr>
        <w:jc w:val="both"/>
      </w:pPr>
      <w:r>
        <w:rPr>
          <w:b/>
        </w:rPr>
        <w:t xml:space="preserve">Proposal 1: RAN2 shall discuss, under which circumstances solutions 2.-6. above </w:t>
      </w:r>
      <w:r w:rsidR="00FF6DAA">
        <w:rPr>
          <w:b/>
        </w:rPr>
        <w:t>could</w:t>
      </w:r>
      <w:r>
        <w:rPr>
          <w:b/>
        </w:rPr>
        <w:t xml:space="preserve"> be applied.</w:t>
      </w:r>
    </w:p>
    <w:p w14:paraId="5FF2457F" w14:textId="3C6B40C9" w:rsidR="00A209D6" w:rsidRPr="006E13D1" w:rsidRDefault="00805C1F" w:rsidP="00A209D6">
      <w:pPr>
        <w:pStyle w:val="Heading1"/>
      </w:pPr>
      <w:r>
        <w:t>4</w:t>
      </w:r>
      <w:r w:rsidR="00A209D6" w:rsidRPr="006E13D1">
        <w:tab/>
      </w:r>
      <w:r w:rsidR="008C3057">
        <w:t>Conclusion</w:t>
      </w:r>
    </w:p>
    <w:p w14:paraId="4AC8C053" w14:textId="57C6C3D9" w:rsidR="00123A5C" w:rsidRPr="006C13E4" w:rsidRDefault="0010024F" w:rsidP="00BB6EDD">
      <w:pPr>
        <w:jc w:val="both"/>
      </w:pPr>
      <w:r w:rsidRPr="006C13E4">
        <w:t>This paper discussed RRC Reconfigurations performed by the source cell during CHO. As a result, the following observations and proposal have been made:</w:t>
      </w:r>
    </w:p>
    <w:p w14:paraId="7F5441CE" w14:textId="268815E2" w:rsidR="0010024F" w:rsidRDefault="0010024F" w:rsidP="00BB6EDD">
      <w:pPr>
        <w:jc w:val="both"/>
        <w:rPr>
          <w:b/>
        </w:rPr>
      </w:pPr>
      <w:r w:rsidRPr="0010024F">
        <w:rPr>
          <w:b/>
        </w:rPr>
        <w:t>Observation 1: Full configuration is an expensive option.</w:t>
      </w:r>
    </w:p>
    <w:p w14:paraId="7281BF94" w14:textId="02898C59" w:rsidR="0010024F" w:rsidRDefault="0010024F" w:rsidP="00BB6EDD">
      <w:pPr>
        <w:jc w:val="both"/>
        <w:rPr>
          <w:b/>
        </w:rPr>
      </w:pPr>
      <w:r w:rsidRPr="0010024F">
        <w:rPr>
          <w:b/>
        </w:rPr>
        <w:t>Observation 2: RRC reconfiguration may change the reference of the delta configuration, and this can lead to major problems during random access.</w:t>
      </w:r>
    </w:p>
    <w:p w14:paraId="4DBF99FB" w14:textId="77777777" w:rsidR="0010024F" w:rsidRDefault="0010024F" w:rsidP="0010024F">
      <w:pPr>
        <w:jc w:val="both"/>
        <w:rPr>
          <w:b/>
        </w:rPr>
      </w:pPr>
      <w:r>
        <w:rPr>
          <w:b/>
        </w:rPr>
        <w:t>Observation 3: Even when using full configuration, RRC reconfigurations may lead to discontinuities after the handover.</w:t>
      </w:r>
    </w:p>
    <w:p w14:paraId="71D9DB51" w14:textId="2149C7F0" w:rsidR="0010024F" w:rsidRPr="00BB6EDD" w:rsidRDefault="0010024F" w:rsidP="00BB6EDD">
      <w:pPr>
        <w:jc w:val="both"/>
        <w:rPr>
          <w:b/>
        </w:rPr>
      </w:pPr>
      <w:r w:rsidRPr="0010024F">
        <w:rPr>
          <w:b/>
        </w:rPr>
        <w:t>Proposal 1: RAN2 shall discuss, under which circumstances solutions 2.-6. above could be applied.</w:t>
      </w:r>
    </w:p>
    <w:p w14:paraId="432B0A82" w14:textId="476EBFC8" w:rsidR="00A209D6" w:rsidRDefault="00B61B92" w:rsidP="00B61B92">
      <w:pPr>
        <w:pStyle w:val="Heading1"/>
      </w:pPr>
      <w:r>
        <w:t>References</w:t>
      </w:r>
    </w:p>
    <w:p w14:paraId="31F1850F" w14:textId="7E2976D3" w:rsidR="002A5627" w:rsidRDefault="00B61B92" w:rsidP="00EB1D67">
      <w:pPr>
        <w:pStyle w:val="ListParagraph"/>
        <w:numPr>
          <w:ilvl w:val="0"/>
          <w:numId w:val="8"/>
        </w:numPr>
      </w:pPr>
      <w:bookmarkStart w:id="1" w:name="_Ref12434618"/>
      <w:r w:rsidRPr="00B61B92">
        <w:t>R2-1908108</w:t>
      </w:r>
      <w:r>
        <w:t xml:space="preserve"> </w:t>
      </w:r>
      <w:r w:rsidRPr="00B61B92">
        <w:rPr>
          <w:i/>
        </w:rPr>
        <w:t>Report from session on Rel-16 LTE Mobility Enhancements WI</w:t>
      </w:r>
      <w:r>
        <w:t xml:space="preserve"> 3GPP TSG-RAN WG2 Meeting #106, Reno, USA, 13th – 17th of May 2019</w:t>
      </w:r>
      <w:bookmarkEnd w:id="1"/>
    </w:p>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E742F" w14:textId="77777777" w:rsidR="00AD3F9B" w:rsidRDefault="00AD3F9B">
      <w:r>
        <w:separator/>
      </w:r>
    </w:p>
  </w:endnote>
  <w:endnote w:type="continuationSeparator" w:id="0">
    <w:p w14:paraId="6CC0FC82" w14:textId="77777777" w:rsidR="00AD3F9B" w:rsidRDefault="00AD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009D0" w14:textId="77777777" w:rsidR="00AD3F9B" w:rsidRDefault="00AD3F9B">
      <w:r>
        <w:separator/>
      </w:r>
    </w:p>
  </w:footnote>
  <w:footnote w:type="continuationSeparator" w:id="0">
    <w:p w14:paraId="5D3C14CF" w14:textId="77777777" w:rsidR="00AD3F9B" w:rsidRDefault="00AD3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AA5936"/>
    <w:multiLevelType w:val="hybridMultilevel"/>
    <w:tmpl w:val="7116F74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7E3005"/>
    <w:multiLevelType w:val="hybridMultilevel"/>
    <w:tmpl w:val="F42E49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FC656D"/>
    <w:multiLevelType w:val="hybridMultilevel"/>
    <w:tmpl w:val="85C8C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6D5536"/>
    <w:multiLevelType w:val="hybridMultilevel"/>
    <w:tmpl w:val="9C387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EA3537B"/>
    <w:multiLevelType w:val="hybridMultilevel"/>
    <w:tmpl w:val="D2BC1760"/>
    <w:lvl w:ilvl="0" w:tplc="43B85628">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C05FB7"/>
    <w:multiLevelType w:val="hybridMultilevel"/>
    <w:tmpl w:val="8828E9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53A7465"/>
    <w:multiLevelType w:val="hybridMultilevel"/>
    <w:tmpl w:val="242C2B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6A01291"/>
    <w:multiLevelType w:val="hybridMultilevel"/>
    <w:tmpl w:val="EB5A75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DCF543C"/>
    <w:multiLevelType w:val="hybridMultilevel"/>
    <w:tmpl w:val="A1E08C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5F509F"/>
    <w:multiLevelType w:val="hybridMultilevel"/>
    <w:tmpl w:val="5BD6A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11"/>
  </w:num>
  <w:num w:numId="7">
    <w:abstractNumId w:val="12"/>
  </w:num>
  <w:num w:numId="8">
    <w:abstractNumId w:val="6"/>
  </w:num>
  <w:num w:numId="9">
    <w:abstractNumId w:val="5"/>
  </w:num>
  <w:num w:numId="10">
    <w:abstractNumId w:val="3"/>
  </w:num>
  <w:num w:numId="11">
    <w:abstractNumId w:val="13"/>
  </w:num>
  <w:num w:numId="12">
    <w:abstractNumId w:val="4"/>
  </w:num>
  <w:num w:numId="13">
    <w:abstractNumId w:val="15"/>
  </w:num>
  <w:num w:numId="14">
    <w:abstractNumId w:val="7"/>
  </w:num>
  <w:num w:numId="15">
    <w:abstractNumId w:val="14"/>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27601"/>
    <w:rsid w:val="000318A4"/>
    <w:rsid w:val="00033397"/>
    <w:rsid w:val="00040095"/>
    <w:rsid w:val="00073C9C"/>
    <w:rsid w:val="00080512"/>
    <w:rsid w:val="00090468"/>
    <w:rsid w:val="00094568"/>
    <w:rsid w:val="000B7BCF"/>
    <w:rsid w:val="000C522B"/>
    <w:rsid w:val="000D162C"/>
    <w:rsid w:val="000D58AB"/>
    <w:rsid w:val="0010024F"/>
    <w:rsid w:val="00104AFA"/>
    <w:rsid w:val="00111487"/>
    <w:rsid w:val="00112F1A"/>
    <w:rsid w:val="00123A5C"/>
    <w:rsid w:val="00145075"/>
    <w:rsid w:val="001741A0"/>
    <w:rsid w:val="00175FA0"/>
    <w:rsid w:val="00194CD0"/>
    <w:rsid w:val="001972A4"/>
    <w:rsid w:val="001A2F48"/>
    <w:rsid w:val="001B14EC"/>
    <w:rsid w:val="001B49C9"/>
    <w:rsid w:val="001C23F4"/>
    <w:rsid w:val="001C4F79"/>
    <w:rsid w:val="001D758E"/>
    <w:rsid w:val="001F168B"/>
    <w:rsid w:val="001F7831"/>
    <w:rsid w:val="00204045"/>
    <w:rsid w:val="0020712B"/>
    <w:rsid w:val="002137BA"/>
    <w:rsid w:val="00214AF5"/>
    <w:rsid w:val="0022606D"/>
    <w:rsid w:val="00231728"/>
    <w:rsid w:val="00250404"/>
    <w:rsid w:val="002610D8"/>
    <w:rsid w:val="0026301F"/>
    <w:rsid w:val="00271A8A"/>
    <w:rsid w:val="002747EC"/>
    <w:rsid w:val="0027680D"/>
    <w:rsid w:val="002855BF"/>
    <w:rsid w:val="00295726"/>
    <w:rsid w:val="002A5627"/>
    <w:rsid w:val="002C7115"/>
    <w:rsid w:val="002F0D22"/>
    <w:rsid w:val="002F1410"/>
    <w:rsid w:val="0030367A"/>
    <w:rsid w:val="003172DC"/>
    <w:rsid w:val="0032139C"/>
    <w:rsid w:val="00325AE3"/>
    <w:rsid w:val="00326069"/>
    <w:rsid w:val="0035462D"/>
    <w:rsid w:val="00364B41"/>
    <w:rsid w:val="003657E7"/>
    <w:rsid w:val="00365AAF"/>
    <w:rsid w:val="00383096"/>
    <w:rsid w:val="003A41EF"/>
    <w:rsid w:val="003B3794"/>
    <w:rsid w:val="003B40AD"/>
    <w:rsid w:val="003C067D"/>
    <w:rsid w:val="003C4E37"/>
    <w:rsid w:val="003D4B58"/>
    <w:rsid w:val="003E16BE"/>
    <w:rsid w:val="003E3B6F"/>
    <w:rsid w:val="003F0C8F"/>
    <w:rsid w:val="003F4E28"/>
    <w:rsid w:val="004006E8"/>
    <w:rsid w:val="00401855"/>
    <w:rsid w:val="004051C0"/>
    <w:rsid w:val="00465587"/>
    <w:rsid w:val="00477455"/>
    <w:rsid w:val="004846F5"/>
    <w:rsid w:val="004A1F7B"/>
    <w:rsid w:val="004B5AE5"/>
    <w:rsid w:val="004C44D2"/>
    <w:rsid w:val="004C6A70"/>
    <w:rsid w:val="004D3578"/>
    <w:rsid w:val="004D380D"/>
    <w:rsid w:val="004E213A"/>
    <w:rsid w:val="004E21E3"/>
    <w:rsid w:val="004E24B4"/>
    <w:rsid w:val="004F3D82"/>
    <w:rsid w:val="00503171"/>
    <w:rsid w:val="00504CC6"/>
    <w:rsid w:val="00506C28"/>
    <w:rsid w:val="00520F4F"/>
    <w:rsid w:val="00534DA0"/>
    <w:rsid w:val="00543E6C"/>
    <w:rsid w:val="005527F4"/>
    <w:rsid w:val="00565087"/>
    <w:rsid w:val="0056573F"/>
    <w:rsid w:val="005866F5"/>
    <w:rsid w:val="00587BF0"/>
    <w:rsid w:val="005A4E31"/>
    <w:rsid w:val="00606E1D"/>
    <w:rsid w:val="00611566"/>
    <w:rsid w:val="006328F6"/>
    <w:rsid w:val="0064010D"/>
    <w:rsid w:val="00646D99"/>
    <w:rsid w:val="00656910"/>
    <w:rsid w:val="006B6F42"/>
    <w:rsid w:val="006C13E4"/>
    <w:rsid w:val="006C66D8"/>
    <w:rsid w:val="006D1E24"/>
    <w:rsid w:val="006E1417"/>
    <w:rsid w:val="006E4A34"/>
    <w:rsid w:val="006F6A2C"/>
    <w:rsid w:val="007069DC"/>
    <w:rsid w:val="00710201"/>
    <w:rsid w:val="0072073A"/>
    <w:rsid w:val="007342B5"/>
    <w:rsid w:val="00734A5B"/>
    <w:rsid w:val="00734E51"/>
    <w:rsid w:val="00744E76"/>
    <w:rsid w:val="0075432F"/>
    <w:rsid w:val="00756888"/>
    <w:rsid w:val="00757D40"/>
    <w:rsid w:val="00781F0F"/>
    <w:rsid w:val="00784EA4"/>
    <w:rsid w:val="0078727C"/>
    <w:rsid w:val="0079049D"/>
    <w:rsid w:val="00792ACE"/>
    <w:rsid w:val="00793DC5"/>
    <w:rsid w:val="007B18D8"/>
    <w:rsid w:val="007B7130"/>
    <w:rsid w:val="007C095F"/>
    <w:rsid w:val="007C2DD0"/>
    <w:rsid w:val="007F08B3"/>
    <w:rsid w:val="007F2E08"/>
    <w:rsid w:val="008028A4"/>
    <w:rsid w:val="00805C1F"/>
    <w:rsid w:val="00813245"/>
    <w:rsid w:val="00861278"/>
    <w:rsid w:val="008622BA"/>
    <w:rsid w:val="0086354A"/>
    <w:rsid w:val="00870625"/>
    <w:rsid w:val="008768CA"/>
    <w:rsid w:val="00877EF9"/>
    <w:rsid w:val="00880559"/>
    <w:rsid w:val="008A1C37"/>
    <w:rsid w:val="008B2051"/>
    <w:rsid w:val="008B5306"/>
    <w:rsid w:val="008B798C"/>
    <w:rsid w:val="008C3057"/>
    <w:rsid w:val="008D2E4D"/>
    <w:rsid w:val="008D363A"/>
    <w:rsid w:val="008E6447"/>
    <w:rsid w:val="008F396F"/>
    <w:rsid w:val="0090271F"/>
    <w:rsid w:val="00902DB9"/>
    <w:rsid w:val="0090466A"/>
    <w:rsid w:val="00923655"/>
    <w:rsid w:val="00924277"/>
    <w:rsid w:val="00933824"/>
    <w:rsid w:val="00936071"/>
    <w:rsid w:val="00940212"/>
    <w:rsid w:val="00940DEE"/>
    <w:rsid w:val="00942EC2"/>
    <w:rsid w:val="009452C0"/>
    <w:rsid w:val="00961B32"/>
    <w:rsid w:val="00962509"/>
    <w:rsid w:val="00970DB3"/>
    <w:rsid w:val="00974BB0"/>
    <w:rsid w:val="00975BCD"/>
    <w:rsid w:val="00976731"/>
    <w:rsid w:val="00983567"/>
    <w:rsid w:val="00992971"/>
    <w:rsid w:val="00994EDE"/>
    <w:rsid w:val="009A0AF3"/>
    <w:rsid w:val="009A78EC"/>
    <w:rsid w:val="009B07CD"/>
    <w:rsid w:val="009B4EB6"/>
    <w:rsid w:val="009C19E9"/>
    <w:rsid w:val="009D54D7"/>
    <w:rsid w:val="009D74A6"/>
    <w:rsid w:val="009F1B92"/>
    <w:rsid w:val="00A10F02"/>
    <w:rsid w:val="00A204CA"/>
    <w:rsid w:val="00A209D6"/>
    <w:rsid w:val="00A53724"/>
    <w:rsid w:val="00A54B2B"/>
    <w:rsid w:val="00A82346"/>
    <w:rsid w:val="00A84277"/>
    <w:rsid w:val="00A92992"/>
    <w:rsid w:val="00A9671C"/>
    <w:rsid w:val="00AA1553"/>
    <w:rsid w:val="00AC205F"/>
    <w:rsid w:val="00AD3F9B"/>
    <w:rsid w:val="00AD453E"/>
    <w:rsid w:val="00AE3854"/>
    <w:rsid w:val="00AE4110"/>
    <w:rsid w:val="00AE5587"/>
    <w:rsid w:val="00B05380"/>
    <w:rsid w:val="00B05962"/>
    <w:rsid w:val="00B15449"/>
    <w:rsid w:val="00B16C2F"/>
    <w:rsid w:val="00B27303"/>
    <w:rsid w:val="00B355D1"/>
    <w:rsid w:val="00B47FD1"/>
    <w:rsid w:val="00B516BB"/>
    <w:rsid w:val="00B61B92"/>
    <w:rsid w:val="00B84DB2"/>
    <w:rsid w:val="00BB4F86"/>
    <w:rsid w:val="00BB6EDD"/>
    <w:rsid w:val="00BC3555"/>
    <w:rsid w:val="00BE4B0B"/>
    <w:rsid w:val="00C057D2"/>
    <w:rsid w:val="00C12B51"/>
    <w:rsid w:val="00C24650"/>
    <w:rsid w:val="00C25465"/>
    <w:rsid w:val="00C30389"/>
    <w:rsid w:val="00C33079"/>
    <w:rsid w:val="00C7675B"/>
    <w:rsid w:val="00C83A13"/>
    <w:rsid w:val="00C9068C"/>
    <w:rsid w:val="00C90C6D"/>
    <w:rsid w:val="00C92967"/>
    <w:rsid w:val="00CA2977"/>
    <w:rsid w:val="00CA3D0C"/>
    <w:rsid w:val="00CA654B"/>
    <w:rsid w:val="00CB72B8"/>
    <w:rsid w:val="00CC1B80"/>
    <w:rsid w:val="00CD3C34"/>
    <w:rsid w:val="00CD4C7B"/>
    <w:rsid w:val="00CE4727"/>
    <w:rsid w:val="00D33BE3"/>
    <w:rsid w:val="00D3792D"/>
    <w:rsid w:val="00D42283"/>
    <w:rsid w:val="00D54682"/>
    <w:rsid w:val="00D55E47"/>
    <w:rsid w:val="00D62E19"/>
    <w:rsid w:val="00D67CD1"/>
    <w:rsid w:val="00D714FF"/>
    <w:rsid w:val="00D738D6"/>
    <w:rsid w:val="00D80795"/>
    <w:rsid w:val="00D854BE"/>
    <w:rsid w:val="00D87E00"/>
    <w:rsid w:val="00D910D0"/>
    <w:rsid w:val="00D9134D"/>
    <w:rsid w:val="00D96D11"/>
    <w:rsid w:val="00DA17F2"/>
    <w:rsid w:val="00DA7A03"/>
    <w:rsid w:val="00DB0DB8"/>
    <w:rsid w:val="00DB1818"/>
    <w:rsid w:val="00DC309B"/>
    <w:rsid w:val="00DC4DA2"/>
    <w:rsid w:val="00DC5261"/>
    <w:rsid w:val="00DE25D2"/>
    <w:rsid w:val="00E17037"/>
    <w:rsid w:val="00E46C08"/>
    <w:rsid w:val="00E471CF"/>
    <w:rsid w:val="00E50D73"/>
    <w:rsid w:val="00E62835"/>
    <w:rsid w:val="00E7336A"/>
    <w:rsid w:val="00E7645F"/>
    <w:rsid w:val="00E77645"/>
    <w:rsid w:val="00E83697"/>
    <w:rsid w:val="00EA3FBA"/>
    <w:rsid w:val="00EA66C9"/>
    <w:rsid w:val="00EB1D67"/>
    <w:rsid w:val="00EC4A25"/>
    <w:rsid w:val="00EC4E78"/>
    <w:rsid w:val="00EC6FED"/>
    <w:rsid w:val="00ED42DA"/>
    <w:rsid w:val="00F025A2"/>
    <w:rsid w:val="00F036E9"/>
    <w:rsid w:val="00F07388"/>
    <w:rsid w:val="00F1475B"/>
    <w:rsid w:val="00F2026E"/>
    <w:rsid w:val="00F2210A"/>
    <w:rsid w:val="00F32071"/>
    <w:rsid w:val="00F32AC8"/>
    <w:rsid w:val="00F37743"/>
    <w:rsid w:val="00F433CC"/>
    <w:rsid w:val="00F54A3D"/>
    <w:rsid w:val="00F54CB0"/>
    <w:rsid w:val="00F579CD"/>
    <w:rsid w:val="00F653B8"/>
    <w:rsid w:val="00F71B89"/>
    <w:rsid w:val="00F7353C"/>
    <w:rsid w:val="00F76F8F"/>
    <w:rsid w:val="00F81093"/>
    <w:rsid w:val="00F941DF"/>
    <w:rsid w:val="00F97679"/>
    <w:rsid w:val="00FA1266"/>
    <w:rsid w:val="00FB36FA"/>
    <w:rsid w:val="00FC1192"/>
    <w:rsid w:val="00FD6BA2"/>
    <w:rsid w:val="00FE251B"/>
    <w:rsid w:val="00FE5E68"/>
    <w:rsid w:val="00FF2184"/>
    <w:rsid w:val="00FF6D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61B92"/>
    <w:pPr>
      <w:ind w:left="720"/>
      <w:contextualSpacing/>
    </w:pPr>
  </w:style>
  <w:style w:type="character" w:styleId="CommentReference">
    <w:name w:val="annotation reference"/>
    <w:basedOn w:val="DefaultParagraphFont"/>
    <w:rsid w:val="00E50D73"/>
    <w:rPr>
      <w:sz w:val="16"/>
      <w:szCs w:val="16"/>
    </w:rPr>
  </w:style>
  <w:style w:type="paragraph" w:styleId="CommentText">
    <w:name w:val="annotation text"/>
    <w:basedOn w:val="Normal"/>
    <w:link w:val="CommentTextChar"/>
    <w:rsid w:val="00E50D73"/>
  </w:style>
  <w:style w:type="character" w:customStyle="1" w:styleId="CommentTextChar">
    <w:name w:val="Comment Text Char"/>
    <w:basedOn w:val="DefaultParagraphFont"/>
    <w:link w:val="CommentText"/>
    <w:rsid w:val="00E50D73"/>
    <w:rPr>
      <w:lang w:eastAsia="en-US"/>
    </w:rPr>
  </w:style>
  <w:style w:type="paragraph" w:styleId="CommentSubject">
    <w:name w:val="annotation subject"/>
    <w:basedOn w:val="CommentText"/>
    <w:next w:val="CommentText"/>
    <w:link w:val="CommentSubjectChar"/>
    <w:rsid w:val="00E50D73"/>
    <w:rPr>
      <w:b/>
      <w:bCs/>
    </w:rPr>
  </w:style>
  <w:style w:type="character" w:customStyle="1" w:styleId="CommentSubjectChar">
    <w:name w:val="Comment Subject Char"/>
    <w:basedOn w:val="CommentTextChar"/>
    <w:link w:val="CommentSubject"/>
    <w:rsid w:val="00E50D73"/>
    <w:rPr>
      <w:b/>
      <w:bCs/>
      <w:lang w:eastAsia="en-US"/>
    </w:rPr>
  </w:style>
  <w:style w:type="paragraph" w:styleId="Caption">
    <w:name w:val="caption"/>
    <w:basedOn w:val="Normal"/>
    <w:next w:val="Normal"/>
    <w:unhideWhenUsed/>
    <w:qFormat/>
    <w:rsid w:val="0032139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1580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8234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5AIRPNAIUNRU-859666464-5257</_dlc_DocId>
    <_dlc_DocIdUrl xmlns="71c5aaf6-e6ce-465b-b873-5148d2a4c105">
      <Url>https://nokia.sharepoint.com/sites/c5g/e2earch/_layouts/15/DocIdRedir.aspx?ID=5AIRPNAIUNRU-859666464-5257</Url>
      <Description>5AIRPNAIUNRU-859666464-5257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BD03F1-B297-450B-A98E-135ECCA00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TotalTime>
  <Pages>2</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Stanczak, Jedrzej (Nokia - PL/Wroclaw)</cp:lastModifiedBy>
  <cp:revision>15</cp:revision>
  <dcterms:created xsi:type="dcterms:W3CDTF">2019-07-17T15:24:00Z</dcterms:created>
  <dcterms:modified xsi:type="dcterms:W3CDTF">2019-08-15T19:05:00Z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39af6ff7-9f5f-4eb9-aa26-86fb6dc30d8c</vt:lpwstr>
  </property>
</Properties>
</file>